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B3B8" w14:textId="77777777" w:rsidR="00B961C6" w:rsidRDefault="00B961C6">
      <w:pPr>
        <w:pStyle w:val="Textkrper"/>
        <w:spacing w:before="11"/>
        <w:rPr>
          <w:rFonts w:ascii="Times New Roman"/>
          <w:sz w:val="18"/>
        </w:rPr>
      </w:pPr>
    </w:p>
    <w:p w14:paraId="1EDA7EC6" w14:textId="6637CF13" w:rsidR="00B961C6" w:rsidRDefault="008B06F8">
      <w:pPr>
        <w:spacing w:before="56"/>
        <w:ind w:left="107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5C3497B" wp14:editId="7FE6A50F">
            <wp:simplePos x="0" y="0"/>
            <wp:positionH relativeFrom="page">
              <wp:posOffset>905621</wp:posOffset>
            </wp:positionH>
            <wp:positionV relativeFrom="paragraph">
              <wp:posOffset>-140755</wp:posOffset>
            </wp:positionV>
            <wp:extent cx="6119804" cy="3212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804" cy="32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E1001A"/>
        </w:rPr>
        <w:t>1/1</w:t>
      </w:r>
    </w:p>
    <w:p w14:paraId="3F3E3F1B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5207CC18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102D9408" w14:textId="306DF7CC" w:rsidR="00B961C6" w:rsidRDefault="008B06F8">
      <w:pPr>
        <w:pStyle w:val="Titel"/>
      </w:pPr>
      <w:r>
        <w:rPr>
          <w:color w:val="E1001A"/>
        </w:rPr>
        <w:t xml:space="preserve">Aide-mémoire </w:t>
      </w:r>
      <w:r>
        <w:rPr>
          <w:color w:val="E1001A"/>
        </w:rPr>
        <w:t>sur les assurances sociales</w:t>
      </w:r>
    </w:p>
    <w:p w14:paraId="3F94AC2E" w14:textId="77777777" w:rsidR="00B961C6" w:rsidRDefault="00B961C6">
      <w:pPr>
        <w:pStyle w:val="Textkrper"/>
        <w:spacing w:before="5"/>
        <w:rPr>
          <w:rFonts w:ascii="Calibri"/>
          <w:b/>
          <w:sz w:val="33"/>
        </w:rPr>
      </w:pPr>
    </w:p>
    <w:p w14:paraId="459E402B" w14:textId="05C81977" w:rsidR="00B961C6" w:rsidRDefault="008B06F8">
      <w:pPr>
        <w:pStyle w:val="berschrift1"/>
      </w:pPr>
      <w:r>
        <w:rPr>
          <w:color w:val="3B3B3B"/>
        </w:rPr>
        <w:t xml:space="preserve">Obligation </w:t>
      </w:r>
      <w:r>
        <w:rPr>
          <w:color w:val="3B3B3B"/>
        </w:rPr>
        <w:t>d’affiliation</w:t>
      </w:r>
    </w:p>
    <w:p w14:paraId="63109B31" w14:textId="4B43C795" w:rsidR="00B961C6" w:rsidRDefault="008B06F8">
      <w:pPr>
        <w:pStyle w:val="Textkrper"/>
        <w:spacing w:before="13" w:line="249" w:lineRule="auto"/>
        <w:ind w:left="1098" w:right="197"/>
      </w:pPr>
      <w:r>
        <w:t>Tous les employeurs doivent être enregistrés auprès d</w:t>
      </w:r>
      <w:r>
        <w:t>’</w:t>
      </w:r>
      <w:r>
        <w:t>une caisse de compensation AVS et d</w:t>
      </w:r>
      <w:r>
        <w:t>’</w:t>
      </w:r>
      <w:r>
        <w:t>une caisse d</w:t>
      </w:r>
      <w:r>
        <w:t>’</w:t>
      </w:r>
      <w:r>
        <w:t>allocations familiales. L</w:t>
      </w:r>
      <w:r>
        <w:t>’</w:t>
      </w:r>
      <w:r>
        <w:t>affiliation à la caisse de compensation nécessite toujours l</w:t>
      </w:r>
      <w:r>
        <w:t>’</w:t>
      </w:r>
      <w:r>
        <w:t>affiliation à une institution de prévoyance professionnelle (2</w:t>
      </w:r>
      <w:r>
        <w:rPr>
          <w:vertAlign w:val="superscript"/>
        </w:rPr>
        <w:t>e</w:t>
      </w:r>
      <w:r>
        <w:t xml:space="preserve"> </w:t>
      </w:r>
      <w:r>
        <w:t>p</w:t>
      </w:r>
      <w:r>
        <w:t>ilier) et une assurance-accidents.</w:t>
      </w:r>
    </w:p>
    <w:p w14:paraId="0F1EA462" w14:textId="77777777" w:rsidR="00B961C6" w:rsidRDefault="00B961C6">
      <w:pPr>
        <w:pStyle w:val="Textkrper"/>
        <w:spacing w:before="7"/>
        <w:rPr>
          <w:sz w:val="23"/>
        </w:rPr>
      </w:pPr>
    </w:p>
    <w:p w14:paraId="25950790" w14:textId="77777777" w:rsidR="00B961C6" w:rsidRDefault="008B06F8">
      <w:pPr>
        <w:pStyle w:val="berschrift1"/>
        <w:spacing w:line="341" w:lineRule="exact"/>
      </w:pPr>
      <w:r>
        <w:rPr>
          <w:color w:val="3B3B3B"/>
        </w:rPr>
        <w:t>Assurances obligatoires</w:t>
      </w:r>
    </w:p>
    <w:p w14:paraId="614FEF7C" w14:textId="77777777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spacing w:line="280" w:lineRule="exact"/>
        <w:ind w:hanging="361"/>
      </w:pPr>
      <w:r>
        <w:t xml:space="preserve">Assurance-vieillesse et survivants </w:t>
      </w:r>
      <w:r>
        <w:t>(</w:t>
      </w:r>
      <w:r>
        <w:t>AVS</w:t>
      </w:r>
      <w:r>
        <w:t>)</w:t>
      </w:r>
    </w:p>
    <w:p w14:paraId="52A34F86" w14:textId="77777777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spacing w:before="1" w:line="240" w:lineRule="auto"/>
        <w:ind w:hanging="361"/>
      </w:pPr>
      <w:r>
        <w:t xml:space="preserve">Assurance-invalidité </w:t>
      </w:r>
      <w:r>
        <w:t>(</w:t>
      </w:r>
      <w:r>
        <w:t>AI</w:t>
      </w:r>
      <w:r>
        <w:t>)</w:t>
      </w:r>
    </w:p>
    <w:p w14:paraId="5E2E9B99" w14:textId="77777777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spacing w:before="1"/>
        <w:ind w:hanging="361"/>
      </w:pPr>
      <w:r>
        <w:t>Allocation</w:t>
      </w:r>
      <w:r>
        <w:t>s</w:t>
      </w:r>
      <w:r>
        <w:t xml:space="preserve"> pour perte de gain </w:t>
      </w:r>
      <w:r>
        <w:t>(</w:t>
      </w:r>
      <w:r>
        <w:t>APG</w:t>
      </w:r>
      <w:r>
        <w:t>)</w:t>
      </w:r>
    </w:p>
    <w:p w14:paraId="3D142735" w14:textId="024C86E9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ind w:hanging="361"/>
      </w:pPr>
      <w:r>
        <w:t>Assurance</w:t>
      </w:r>
      <w:r>
        <w:t>-</w:t>
      </w:r>
      <w:r>
        <w:t xml:space="preserve">chômage </w:t>
      </w:r>
      <w:r>
        <w:t>(</w:t>
      </w:r>
      <w:r>
        <w:t>AC</w:t>
      </w:r>
      <w:r>
        <w:t>)</w:t>
      </w:r>
    </w:p>
    <w:p w14:paraId="4930E1F0" w14:textId="77777777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spacing w:line="240" w:lineRule="auto"/>
        <w:ind w:hanging="361"/>
      </w:pPr>
      <w:r>
        <w:t>Allocations familiales</w:t>
      </w:r>
    </w:p>
    <w:p w14:paraId="73588B2D" w14:textId="5A07B529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spacing w:before="1"/>
        <w:ind w:hanging="361"/>
      </w:pPr>
      <w:r>
        <w:t>Assurance</w:t>
      </w:r>
      <w:r>
        <w:t>-</w:t>
      </w:r>
      <w:r>
        <w:t xml:space="preserve">accidents professionnels </w:t>
      </w:r>
      <w:r>
        <w:t>(</w:t>
      </w:r>
      <w:r>
        <w:t xml:space="preserve">AA </w:t>
      </w:r>
      <w:r>
        <w:t>AP)</w:t>
      </w:r>
    </w:p>
    <w:p w14:paraId="26E03922" w14:textId="304BABA2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ind w:hanging="361"/>
      </w:pPr>
      <w:r>
        <w:t>Assurance</w:t>
      </w:r>
      <w:r>
        <w:t>-</w:t>
      </w:r>
      <w:r>
        <w:t xml:space="preserve">accidents non professionnels </w:t>
      </w:r>
      <w:r>
        <w:t>(</w:t>
      </w:r>
      <w:r>
        <w:t>AA ANP</w:t>
      </w:r>
      <w:r>
        <w:t>)</w:t>
      </w:r>
      <w:r>
        <w:t xml:space="preserve"> (à partir de 8h de travail par semaine)</w:t>
      </w:r>
    </w:p>
    <w:p w14:paraId="02FC8387" w14:textId="05D03277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spacing w:line="240" w:lineRule="auto"/>
        <w:ind w:hanging="361"/>
      </w:pPr>
      <w:r>
        <w:t xml:space="preserve">Prévoyance professionnelle </w:t>
      </w:r>
      <w:r>
        <w:t>(</w:t>
      </w:r>
      <w:r>
        <w:t>PP</w:t>
      </w:r>
      <w:r>
        <w:t>)</w:t>
      </w:r>
      <w:r>
        <w:t xml:space="preserve"> (à partir d</w:t>
      </w:r>
      <w:r>
        <w:t>’</w:t>
      </w:r>
      <w:r>
        <w:t>un salaire annuel de CHF</w:t>
      </w:r>
      <w:r>
        <w:t> </w:t>
      </w:r>
      <w:r>
        <w:t>22</w:t>
      </w:r>
      <w:r>
        <w:t> </w:t>
      </w:r>
      <w:r>
        <w:t>050.</w:t>
      </w:r>
      <w:r>
        <w:t>–</w:t>
      </w:r>
      <w:r>
        <w:t>)</w:t>
      </w:r>
    </w:p>
    <w:p w14:paraId="2C4E9209" w14:textId="77777777" w:rsidR="00B961C6" w:rsidRDefault="00B961C6">
      <w:pPr>
        <w:pStyle w:val="Textkrper"/>
        <w:spacing w:before="6"/>
        <w:rPr>
          <w:sz w:val="24"/>
        </w:rPr>
      </w:pPr>
    </w:p>
    <w:p w14:paraId="5D451B64" w14:textId="77777777" w:rsidR="00B961C6" w:rsidRDefault="008B06F8">
      <w:pPr>
        <w:pStyle w:val="berschrift1"/>
        <w:spacing w:line="341" w:lineRule="exact"/>
      </w:pPr>
      <w:r>
        <w:rPr>
          <w:color w:val="3B3B3B"/>
        </w:rPr>
        <w:t>Assurances facultatives</w:t>
      </w:r>
    </w:p>
    <w:p w14:paraId="3F38BE0B" w14:textId="1F2CA30C" w:rsidR="00B961C6" w:rsidRDefault="008B06F8">
      <w:pPr>
        <w:pStyle w:val="Listenabsatz"/>
        <w:numPr>
          <w:ilvl w:val="0"/>
          <w:numId w:val="1"/>
        </w:numPr>
        <w:tabs>
          <w:tab w:val="left" w:pos="1818"/>
          <w:tab w:val="left" w:pos="1819"/>
        </w:tabs>
        <w:spacing w:line="280" w:lineRule="exact"/>
        <w:ind w:hanging="361"/>
      </w:pPr>
      <w:r>
        <w:t>Assurance d</w:t>
      </w:r>
      <w:r>
        <w:t>’</w:t>
      </w:r>
      <w:r>
        <w:t xml:space="preserve">indemnités journalières en cas de maladie </w:t>
      </w:r>
      <w:r>
        <w:t>(</w:t>
      </w:r>
      <w:r>
        <w:t>IJM</w:t>
      </w:r>
      <w:r>
        <w:t>)</w:t>
      </w:r>
    </w:p>
    <w:p w14:paraId="7EDF895A" w14:textId="77777777" w:rsidR="00B961C6" w:rsidRDefault="00B961C6">
      <w:pPr>
        <w:pStyle w:val="Textkrper"/>
        <w:spacing w:before="5"/>
        <w:rPr>
          <w:sz w:val="24"/>
        </w:rPr>
      </w:pPr>
    </w:p>
    <w:p w14:paraId="60A54E56" w14:textId="0E77D675" w:rsidR="00B961C6" w:rsidRDefault="008B06F8">
      <w:pPr>
        <w:pStyle w:val="berschrift1"/>
      </w:pPr>
      <w:r>
        <w:rPr>
          <w:color w:val="3B3B3B"/>
        </w:rPr>
        <w:t xml:space="preserve">Cotisations </w:t>
      </w:r>
      <w:r>
        <w:rPr>
          <w:color w:val="3B3B3B"/>
        </w:rPr>
        <w:t>sociales</w:t>
      </w:r>
      <w:r>
        <w:rPr>
          <w:color w:val="3B3B3B"/>
        </w:rPr>
        <w:t xml:space="preserve"> 2023</w:t>
      </w:r>
    </w:p>
    <w:p w14:paraId="40BB10D5" w14:textId="77777777" w:rsidR="00B961C6" w:rsidRDefault="008B06F8">
      <w:pPr>
        <w:spacing w:before="75"/>
        <w:ind w:left="1098"/>
        <w:rPr>
          <w:rFonts w:ascii="Calibri" w:hAnsi="Calibri"/>
          <w:b/>
        </w:rPr>
      </w:pPr>
      <w:r>
        <w:rPr>
          <w:rFonts w:ascii="Calibri" w:hAnsi="Calibri"/>
          <w:b/>
          <w:color w:val="3B3B3B"/>
        </w:rPr>
        <w:t>(aucun changement prévu pour 2024)</w:t>
      </w:r>
    </w:p>
    <w:p w14:paraId="6381A22E" w14:textId="77777777" w:rsidR="00B961C6" w:rsidRDefault="00B961C6">
      <w:pPr>
        <w:pStyle w:val="Textkrper"/>
        <w:spacing w:before="1" w:after="1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52"/>
      </w:tblGrid>
      <w:tr w:rsidR="00B961C6" w14:paraId="5C0318EC" w14:textId="77777777">
        <w:trPr>
          <w:trHeight w:val="280"/>
        </w:trPr>
        <w:tc>
          <w:tcPr>
            <w:tcW w:w="1272" w:type="dxa"/>
          </w:tcPr>
          <w:p w14:paraId="7F37A0A4" w14:textId="77777777" w:rsidR="00B961C6" w:rsidRDefault="008B06F8">
            <w:pPr>
              <w:pStyle w:val="TableParagraph"/>
              <w:spacing w:line="244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AVS/AI</w:t>
            </w:r>
            <w:r>
              <w:rPr>
                <w:rFonts w:ascii="Calibri"/>
                <w:b/>
              </w:rPr>
              <w:t>/APG</w:t>
            </w:r>
          </w:p>
        </w:tc>
        <w:tc>
          <w:tcPr>
            <w:tcW w:w="8352" w:type="dxa"/>
          </w:tcPr>
          <w:p w14:paraId="141A9CEE" w14:textId="4F893359" w:rsidR="00B961C6" w:rsidRDefault="008B06F8">
            <w:pPr>
              <w:pStyle w:val="TableParagraph"/>
              <w:spacing w:line="244" w:lineRule="exact"/>
            </w:pPr>
            <w:r>
              <w:t>5</w:t>
            </w:r>
            <w:r>
              <w:t>,</w:t>
            </w:r>
            <w:r>
              <w:t>3</w:t>
            </w:r>
            <w:r>
              <w:t>% de cotisation salariale / 5,3</w:t>
            </w:r>
            <w:r>
              <w:t>% de cotisation patronale</w:t>
            </w:r>
          </w:p>
        </w:tc>
      </w:tr>
      <w:tr w:rsidR="00B961C6" w14:paraId="066E95EB" w14:textId="77777777">
        <w:trPr>
          <w:trHeight w:val="558"/>
        </w:trPr>
        <w:tc>
          <w:tcPr>
            <w:tcW w:w="1272" w:type="dxa"/>
          </w:tcPr>
          <w:p w14:paraId="7DDFF3FE" w14:textId="5D83B346" w:rsidR="00B961C6" w:rsidRDefault="008B06F8">
            <w:pPr>
              <w:pStyle w:val="TableParagraph"/>
              <w:spacing w:before="13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</w:t>
            </w:r>
          </w:p>
        </w:tc>
        <w:tc>
          <w:tcPr>
            <w:tcW w:w="8352" w:type="dxa"/>
          </w:tcPr>
          <w:p w14:paraId="13A04472" w14:textId="7C5C11E7" w:rsidR="00B961C6" w:rsidRDefault="008B06F8">
            <w:pPr>
              <w:pStyle w:val="TableParagraph"/>
              <w:spacing w:before="0" w:line="280" w:lineRule="atLeast"/>
              <w:ind w:right="2604"/>
            </w:pPr>
            <w:r>
              <w:t>1</w:t>
            </w:r>
            <w:r>
              <w:t>,</w:t>
            </w:r>
            <w:r>
              <w:t>1</w:t>
            </w:r>
            <w:r>
              <w:t xml:space="preserve">% </w:t>
            </w:r>
            <w:r>
              <w:t xml:space="preserve">de </w:t>
            </w:r>
            <w:r>
              <w:t xml:space="preserve">cotisation </w:t>
            </w:r>
            <w:r>
              <w:t>salariale</w:t>
            </w:r>
            <w:r>
              <w:t xml:space="preserve"> / 1,1</w:t>
            </w:r>
            <w:r>
              <w:t xml:space="preserve">% </w:t>
            </w:r>
            <w:r>
              <w:t xml:space="preserve">de </w:t>
            </w:r>
            <w:r>
              <w:t xml:space="preserve">cotisation </w:t>
            </w:r>
            <w:r>
              <w:t>patronale</w:t>
            </w:r>
            <w:r>
              <w:t>.</w:t>
            </w:r>
            <w:r>
              <w:t xml:space="preserve"> Les éléments de salaire supérieurs à CHF 148</w:t>
            </w:r>
            <w:r>
              <w:t> </w:t>
            </w:r>
            <w:r>
              <w:t>200.</w:t>
            </w:r>
            <w:r>
              <w:t>–</w:t>
            </w:r>
            <w:r>
              <w:t xml:space="preserve"> ne sont pas assurés.</w:t>
            </w:r>
          </w:p>
        </w:tc>
      </w:tr>
      <w:tr w:rsidR="00B961C6" w14:paraId="6920FE3B" w14:textId="77777777">
        <w:trPr>
          <w:trHeight w:val="838"/>
        </w:trPr>
        <w:tc>
          <w:tcPr>
            <w:tcW w:w="1272" w:type="dxa"/>
          </w:tcPr>
          <w:p w14:paraId="5B7A1D4E" w14:textId="77777777" w:rsidR="00B961C6" w:rsidRDefault="008B06F8">
            <w:pPr>
              <w:pStyle w:val="TableParagraph"/>
              <w:spacing w:before="14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LAA</w:t>
            </w:r>
          </w:p>
        </w:tc>
        <w:tc>
          <w:tcPr>
            <w:tcW w:w="8352" w:type="dxa"/>
          </w:tcPr>
          <w:p w14:paraId="76C3175E" w14:textId="1157EC3E" w:rsidR="00B961C6" w:rsidRDefault="008B06F8">
            <w:pPr>
              <w:pStyle w:val="TableParagraph"/>
              <w:spacing w:before="14"/>
            </w:pPr>
            <w:r>
              <w:t>Obligatoire jusqu</w:t>
            </w:r>
            <w:r>
              <w:t>’</w:t>
            </w:r>
            <w:r>
              <w:t>à CHF</w:t>
            </w:r>
            <w:r>
              <w:t> </w:t>
            </w:r>
            <w:r>
              <w:t>148</w:t>
            </w:r>
            <w:r>
              <w:t> </w:t>
            </w:r>
            <w:r>
              <w:t>200.</w:t>
            </w:r>
            <w:r>
              <w:t>–</w:t>
            </w:r>
            <w:r>
              <w:t xml:space="preserve"> de gain annuel.</w:t>
            </w:r>
          </w:p>
          <w:p w14:paraId="35646FC7" w14:textId="71C181F6" w:rsidR="00B961C6" w:rsidRDefault="008B06F8">
            <w:pPr>
              <w:pStyle w:val="TableParagraph"/>
              <w:spacing w:before="0" w:line="280" w:lineRule="atLeast"/>
              <w:ind w:right="240"/>
            </w:pPr>
            <w:r>
              <w:t>La prime de l</w:t>
            </w:r>
            <w:r>
              <w:t>’</w:t>
            </w:r>
            <w:r>
              <w:t>assurance contre les accidents professionnels est entièrement à la charge de l</w:t>
            </w:r>
            <w:r>
              <w:t>’</w:t>
            </w:r>
            <w:r>
              <w:t>employeur. L</w:t>
            </w:r>
            <w:r>
              <w:t>’</w:t>
            </w:r>
            <w:r>
              <w:t>assurance contre les accidents non professionnels est obligatoire à partir de huit heures par semaine.</w:t>
            </w:r>
          </w:p>
        </w:tc>
      </w:tr>
      <w:tr w:rsidR="00B961C6" w14:paraId="26A47E1F" w14:textId="77777777">
        <w:trPr>
          <w:trHeight w:val="1957"/>
        </w:trPr>
        <w:tc>
          <w:tcPr>
            <w:tcW w:w="1272" w:type="dxa"/>
          </w:tcPr>
          <w:p w14:paraId="31C60E94" w14:textId="77777777" w:rsidR="00B961C6" w:rsidRDefault="008B06F8">
            <w:pPr>
              <w:pStyle w:val="TableParagraph"/>
              <w:spacing w:before="1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LPP</w:t>
            </w:r>
          </w:p>
        </w:tc>
        <w:tc>
          <w:tcPr>
            <w:tcW w:w="8352" w:type="dxa"/>
          </w:tcPr>
          <w:p w14:paraId="162A01E2" w14:textId="36C070B6" w:rsidR="00B961C6" w:rsidRDefault="008B06F8">
            <w:pPr>
              <w:pStyle w:val="TableParagraph"/>
              <w:spacing w:before="11"/>
            </w:pPr>
            <w:r>
              <w:t>Seuil d</w:t>
            </w:r>
            <w:r>
              <w:t>’</w:t>
            </w:r>
            <w:r>
              <w:t>entrée CHF</w:t>
            </w:r>
            <w:r>
              <w:t> </w:t>
            </w:r>
            <w:r>
              <w:t>22</w:t>
            </w:r>
            <w:r>
              <w:t> </w:t>
            </w:r>
            <w:r>
              <w:t>050.</w:t>
            </w:r>
            <w:r>
              <w:t>–</w:t>
            </w:r>
          </w:p>
          <w:p w14:paraId="649704D4" w14:textId="07D43229" w:rsidR="00B961C6" w:rsidRDefault="008B06F8">
            <w:pPr>
              <w:pStyle w:val="TableParagraph"/>
              <w:spacing w:before="13" w:line="249" w:lineRule="auto"/>
              <w:ind w:right="2604"/>
            </w:pPr>
            <w:r>
              <w:t xml:space="preserve">Salaire maximal </w:t>
            </w:r>
            <w:r>
              <w:t>considéré</w:t>
            </w:r>
            <w:r>
              <w:t xml:space="preserve"> CHF</w:t>
            </w:r>
            <w:r>
              <w:t> </w:t>
            </w:r>
            <w:r>
              <w:t>88</w:t>
            </w:r>
            <w:r>
              <w:t> </w:t>
            </w:r>
            <w:r>
              <w:t>200.</w:t>
            </w:r>
            <w:r>
              <w:t>–</w:t>
            </w:r>
            <w:r>
              <w:t xml:space="preserve"> Déduction de coordination CHF 25</w:t>
            </w:r>
            <w:r>
              <w:t> </w:t>
            </w:r>
            <w:r>
              <w:t>725.</w:t>
            </w:r>
            <w:r>
              <w:t>–</w:t>
            </w:r>
          </w:p>
          <w:p w14:paraId="10A12F08" w14:textId="0F709BCF" w:rsidR="00B961C6" w:rsidRDefault="008B06F8">
            <w:pPr>
              <w:pStyle w:val="TableParagraph"/>
              <w:spacing w:before="0"/>
            </w:pPr>
            <w:r>
              <w:t xml:space="preserve">Salaire </w:t>
            </w:r>
            <w:r>
              <w:t>coordonné minimal</w:t>
            </w:r>
            <w:r>
              <w:t xml:space="preserve"> CHF</w:t>
            </w:r>
            <w:r>
              <w:t> </w:t>
            </w:r>
            <w:r>
              <w:t>3</w:t>
            </w:r>
            <w:r>
              <w:t>675.</w:t>
            </w:r>
            <w:r>
              <w:t>–</w:t>
            </w:r>
          </w:p>
          <w:p w14:paraId="1295FC9B" w14:textId="49CFA16F" w:rsidR="00B961C6" w:rsidRDefault="008B06F8">
            <w:pPr>
              <w:pStyle w:val="TableParagraph"/>
              <w:spacing w:before="13" w:line="249" w:lineRule="auto"/>
              <w:ind w:right="1091"/>
            </w:pPr>
            <w:r>
              <w:t>Prime pour l</w:t>
            </w:r>
            <w:r>
              <w:t>’</w:t>
            </w:r>
            <w:r>
              <w:t>assurance risque à partir du 1</w:t>
            </w:r>
            <w:r>
              <w:rPr>
                <w:vertAlign w:val="superscript"/>
              </w:rPr>
              <w:t>er</w:t>
            </w:r>
            <w:r>
              <w:t> janvier</w:t>
            </w:r>
            <w:r>
              <w:t xml:space="preserve"> après</w:t>
            </w:r>
            <w:r>
              <w:t xml:space="preserve"> </w:t>
            </w:r>
            <w:r>
              <w:t>17</w:t>
            </w:r>
            <w:r>
              <w:t> </w:t>
            </w:r>
            <w:r>
              <w:t xml:space="preserve">ans révolus Prime pour la prévoyance vieillesse à partir du </w:t>
            </w: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 janvier </w:t>
            </w:r>
            <w:r>
              <w:t xml:space="preserve">après </w:t>
            </w:r>
            <w:r>
              <w:t>24</w:t>
            </w:r>
            <w:r>
              <w:t> </w:t>
            </w:r>
            <w:r>
              <w:t>ans révolus</w:t>
            </w:r>
          </w:p>
          <w:p w14:paraId="1F0890B7" w14:textId="77777777" w:rsidR="00B961C6" w:rsidRDefault="008B06F8">
            <w:pPr>
              <w:pStyle w:val="TableParagraph"/>
              <w:spacing w:before="1" w:line="244" w:lineRule="exact"/>
            </w:pPr>
            <w:r>
              <w:t>La moitié au maximum peut être déduite du salaire des employé</w:t>
            </w:r>
            <w:r>
              <w:t>(e)</w:t>
            </w:r>
            <w:r>
              <w:t>s.</w:t>
            </w:r>
          </w:p>
        </w:tc>
      </w:tr>
      <w:tr w:rsidR="00B961C6" w14:paraId="412109B5" w14:textId="77777777">
        <w:trPr>
          <w:trHeight w:val="280"/>
        </w:trPr>
        <w:tc>
          <w:tcPr>
            <w:tcW w:w="1272" w:type="dxa"/>
          </w:tcPr>
          <w:p w14:paraId="0F87233D" w14:textId="3D70EC20" w:rsidR="00B961C6" w:rsidRDefault="008B06F8">
            <w:pPr>
              <w:pStyle w:val="TableParagraph"/>
              <w:spacing w:line="244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LAMal</w:t>
            </w:r>
          </w:p>
        </w:tc>
        <w:tc>
          <w:tcPr>
            <w:tcW w:w="8352" w:type="dxa"/>
          </w:tcPr>
          <w:p w14:paraId="4E5F8292" w14:textId="77777777" w:rsidR="00B961C6" w:rsidRDefault="008B06F8">
            <w:pPr>
              <w:pStyle w:val="TableParagraph"/>
              <w:spacing w:line="244" w:lineRule="exact"/>
            </w:pPr>
            <w:r>
              <w:t>La moitié au maximum peut être déduite du salaire des employé</w:t>
            </w:r>
            <w:r>
              <w:t>(e)</w:t>
            </w:r>
            <w:r>
              <w:t>s.</w:t>
            </w:r>
          </w:p>
        </w:tc>
      </w:tr>
    </w:tbl>
    <w:p w14:paraId="2B7E4976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26D4EC24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5173E45D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660CA1F8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0DAE8D4D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7C6F6D27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59BB7B7C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087D29E1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44BC4A72" w14:textId="77777777" w:rsidR="00B961C6" w:rsidRDefault="00B961C6">
      <w:pPr>
        <w:pStyle w:val="Textkrper"/>
        <w:rPr>
          <w:rFonts w:ascii="Calibri"/>
          <w:b/>
          <w:sz w:val="20"/>
        </w:rPr>
      </w:pPr>
    </w:p>
    <w:p w14:paraId="0680C99D" w14:textId="77777777" w:rsidR="00B961C6" w:rsidRDefault="008B06F8">
      <w:pPr>
        <w:pStyle w:val="Textkrper"/>
        <w:spacing w:before="10"/>
        <w:rPr>
          <w:rFonts w:ascii="Calibri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E572530" wp14:editId="003A7C48">
            <wp:simplePos x="0" y="0"/>
            <wp:positionH relativeFrom="page">
              <wp:posOffset>751139</wp:posOffset>
            </wp:positionH>
            <wp:positionV relativeFrom="paragraph">
              <wp:posOffset>223128</wp:posOffset>
            </wp:positionV>
            <wp:extent cx="6293592" cy="4251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592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61C6">
      <w:type w:val="continuous"/>
      <w:pgSz w:w="11900" w:h="16850"/>
      <w:pgMar w:top="660" w:right="6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353"/>
    <w:multiLevelType w:val="hybridMultilevel"/>
    <w:tmpl w:val="1108AF90"/>
    <w:lvl w:ilvl="0" w:tplc="CEA29C9C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BC1C2D0E">
      <w:numFmt w:val="bullet"/>
      <w:lvlText w:val="•"/>
      <w:lvlJc w:val="left"/>
      <w:pPr>
        <w:ind w:left="2727" w:hanging="360"/>
      </w:pPr>
      <w:rPr>
        <w:rFonts w:hint="default"/>
        <w:lang w:val="de-DE" w:eastAsia="en-US" w:bidi="ar-SA"/>
      </w:rPr>
    </w:lvl>
    <w:lvl w:ilvl="2" w:tplc="F2066184">
      <w:numFmt w:val="bullet"/>
      <w:lvlText w:val="•"/>
      <w:lvlJc w:val="left"/>
      <w:pPr>
        <w:ind w:left="3635" w:hanging="360"/>
      </w:pPr>
      <w:rPr>
        <w:rFonts w:hint="default"/>
        <w:lang w:val="de-DE" w:eastAsia="en-US" w:bidi="ar-SA"/>
      </w:rPr>
    </w:lvl>
    <w:lvl w:ilvl="3" w:tplc="5BF2B518">
      <w:numFmt w:val="bullet"/>
      <w:lvlText w:val="•"/>
      <w:lvlJc w:val="left"/>
      <w:pPr>
        <w:ind w:left="4543" w:hanging="360"/>
      </w:pPr>
      <w:rPr>
        <w:rFonts w:hint="default"/>
        <w:lang w:val="de-DE" w:eastAsia="en-US" w:bidi="ar-SA"/>
      </w:rPr>
    </w:lvl>
    <w:lvl w:ilvl="4" w:tplc="EA6A71A0">
      <w:numFmt w:val="bullet"/>
      <w:lvlText w:val="•"/>
      <w:lvlJc w:val="left"/>
      <w:pPr>
        <w:ind w:left="5451" w:hanging="360"/>
      </w:pPr>
      <w:rPr>
        <w:rFonts w:hint="default"/>
        <w:lang w:val="de-DE" w:eastAsia="en-US" w:bidi="ar-SA"/>
      </w:rPr>
    </w:lvl>
    <w:lvl w:ilvl="5" w:tplc="77D0C5A2">
      <w:numFmt w:val="bullet"/>
      <w:lvlText w:val="•"/>
      <w:lvlJc w:val="left"/>
      <w:pPr>
        <w:ind w:left="6359" w:hanging="360"/>
      </w:pPr>
      <w:rPr>
        <w:rFonts w:hint="default"/>
        <w:lang w:val="de-DE" w:eastAsia="en-US" w:bidi="ar-SA"/>
      </w:rPr>
    </w:lvl>
    <w:lvl w:ilvl="6" w:tplc="5702689E">
      <w:numFmt w:val="bullet"/>
      <w:lvlText w:val="•"/>
      <w:lvlJc w:val="left"/>
      <w:pPr>
        <w:ind w:left="7267" w:hanging="360"/>
      </w:pPr>
      <w:rPr>
        <w:rFonts w:hint="default"/>
        <w:lang w:val="de-DE" w:eastAsia="en-US" w:bidi="ar-SA"/>
      </w:rPr>
    </w:lvl>
    <w:lvl w:ilvl="7" w:tplc="16C49CA2">
      <w:numFmt w:val="bullet"/>
      <w:lvlText w:val="•"/>
      <w:lvlJc w:val="left"/>
      <w:pPr>
        <w:ind w:left="8175" w:hanging="360"/>
      </w:pPr>
      <w:rPr>
        <w:rFonts w:hint="default"/>
        <w:lang w:val="de-DE" w:eastAsia="en-US" w:bidi="ar-SA"/>
      </w:rPr>
    </w:lvl>
    <w:lvl w:ilvl="8" w:tplc="9B0C9158">
      <w:numFmt w:val="bullet"/>
      <w:lvlText w:val="•"/>
      <w:lvlJc w:val="left"/>
      <w:pPr>
        <w:ind w:left="9083" w:hanging="360"/>
      </w:pPr>
      <w:rPr>
        <w:rFonts w:hint="default"/>
        <w:lang w:val="de-DE" w:eastAsia="en-US" w:bidi="ar-SA"/>
      </w:rPr>
    </w:lvl>
  </w:abstractNum>
  <w:num w:numId="1" w16cid:durableId="113983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1C6"/>
    <w:rsid w:val="008B06F8"/>
    <w:rsid w:val="00B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E2F5F"/>
  <w15:docId w15:val="{0394E571-539F-4DDC-AC6F-45DF2E0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 Light" w:eastAsia="Calibri Light" w:hAnsi="Calibri Light" w:cs="Calibri Light"/>
    </w:rPr>
  </w:style>
  <w:style w:type="paragraph" w:styleId="berschrift1">
    <w:name w:val="heading 1"/>
    <w:basedOn w:val="Standard"/>
    <w:uiPriority w:val="9"/>
    <w:qFormat/>
    <w:pPr>
      <w:ind w:left="1098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86"/>
      <w:ind w:left="1098"/>
    </w:pPr>
    <w:rPr>
      <w:rFonts w:ascii="Calibri" w:eastAsia="Calibri" w:hAnsi="Calibri" w:cs="Calibri"/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  <w:pPr>
      <w:spacing w:line="279" w:lineRule="exact"/>
      <w:ind w:left="1818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1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E038D87D93D10E4EAD51C589EBDD7209" ma:contentTypeVersion="52" ma:contentTypeDescription="" ma:contentTypeScope="" ma:versionID="1a393ace52def052c91e337af4ce88d8">
  <xsd:schema xmlns:xsd="http://www.w3.org/2001/XMLSchema" xmlns:xs="http://www.w3.org/2001/XMLSchema" xmlns:p="http://schemas.microsoft.com/office/2006/metadata/properties" xmlns:ns2="b532dd28-cd18-4d71-bac4-dfb3b74bfd6a" xmlns:ns3="bcf4e4db-fa87-42fe-8e1d-37d9e439fe13" targetNamespace="http://schemas.microsoft.com/office/2006/metadata/properties" ma:root="true" ma:fieldsID="6a135f843a1207a6c9222a92e9ce2be0" ns2:_="" ns3:_="">
    <xsd:import namespace="b532dd28-cd18-4d71-bac4-dfb3b74bfd6a"/>
    <xsd:import namespace="bcf4e4db-fa87-42fe-8e1d-37d9e439fe13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3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f72ebb5-2941-4009-89ba-ef88b56732ae}" ma:internalName="TaxCatchAll" ma:showField="CatchAllData" ma:web="c682baed-f5e1-47e1-abd9-86287ff4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f72ebb5-2941-4009-89ba-ef88b56732ae}" ma:internalName="TaxCatchAllLabel" ma:readOnly="true" ma:showField="CatchAllDataLabel" ma:web="c682baed-f5e1-47e1-abd9-86287ff4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305;#Interne Abteilung|f1ad1dba-b15a-4a4a-8479-12ba404e5382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2;#Mitgliederservice|f198c7ed-0ded-4fb3-9474-af0d7e7a749b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e4db-fa87-42fe-8e1d-37d9e439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10E71-7CAD-4A7C-9CC5-D45662506796}"/>
</file>

<file path=customXml/itemProps2.xml><?xml version="1.0" encoding="utf-8"?>
<ds:datastoreItem xmlns:ds="http://schemas.openxmlformats.org/officeDocument/2006/customXml" ds:itemID="{3002FA3C-8698-45DC-B5D4-1CCE01C150B2}"/>
</file>

<file path=customXml/itemProps3.xml><?xml version="1.0" encoding="utf-8"?>
<ds:datastoreItem xmlns:ds="http://schemas.openxmlformats.org/officeDocument/2006/customXml" ds:itemID="{ED4790E9-C267-43FF-BF5F-9A44C3EC7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Ursina | Swiss-Ski</dc:creator>
  <cp:lastModifiedBy>Baumann Félix</cp:lastModifiedBy>
  <cp:revision>2</cp:revision>
  <dcterms:created xsi:type="dcterms:W3CDTF">2023-12-18T13:40:00Z</dcterms:created>
  <dcterms:modified xsi:type="dcterms:W3CDTF">2023-12-22T14:46:00Z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für Microsoft 365</vt:lpwstr>
  </property>
</Properties>
</file>